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4" w:rsidRPr="00A61587" w:rsidRDefault="00A61587">
      <w:pPr>
        <w:rPr>
          <w:b/>
        </w:rPr>
      </w:pPr>
      <w:r w:rsidRPr="00A61587">
        <w:rPr>
          <w:b/>
        </w:rPr>
        <w:t>IRB #:</w:t>
      </w:r>
    </w:p>
    <w:p w:rsidR="00A61587" w:rsidRPr="00A61587" w:rsidRDefault="00A61587">
      <w:pPr>
        <w:rPr>
          <w:b/>
        </w:rPr>
      </w:pPr>
      <w:r w:rsidRPr="00A61587">
        <w:rPr>
          <w:b/>
        </w:rPr>
        <w:t>Principal Investigator:</w:t>
      </w:r>
    </w:p>
    <w:p w:rsidR="00A61587" w:rsidRPr="00A61587" w:rsidRDefault="00A61587">
      <w:pPr>
        <w:rPr>
          <w:b/>
        </w:rPr>
      </w:pPr>
      <w:r w:rsidRPr="00A61587">
        <w:rPr>
          <w:b/>
        </w:rPr>
        <w:t>Protocol Title:</w:t>
      </w:r>
    </w:p>
    <w:p w:rsidR="00A61587" w:rsidRDefault="00A61587">
      <w:pPr>
        <w:rPr>
          <w:b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9265C" wp14:editId="15F1458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6103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491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" strokecolor="#4472c4 [3204]" strokeweight="3pt">
                <v:stroke joinstyle="miter"/>
              </v:line>
            </w:pict>
          </mc:Fallback>
        </mc:AlternateContent>
      </w:r>
    </w:p>
    <w:p w:rsidR="00584323" w:rsidRDefault="00584323" w:rsidP="00584323">
      <w:r>
        <w:t>(The PI of this study must (a) be a UPMC staff member and/or have UPMC-privileges, and (b) provide related care (i.e.,</w:t>
      </w:r>
      <w:r>
        <w:t xml:space="preserve"> </w:t>
      </w:r>
      <w:r>
        <w:t>related to the information desired), or is in the position to provide related care (including treatment and/or diagnostic</w:t>
      </w:r>
      <w:r>
        <w:t xml:space="preserve"> </w:t>
      </w:r>
      <w:r>
        <w:t>services), to the types of patients whose medical records will be studied in this investigation.)</w:t>
      </w:r>
    </w:p>
    <w:p w:rsidR="00A61587" w:rsidRDefault="00584323" w:rsidP="00584323">
      <w:r>
        <w:t>The IRB approved a request for a waiver of the requirement to obtain HIPAA authorization to access and use protected</w:t>
      </w:r>
      <w:r>
        <w:t xml:space="preserve"> </w:t>
      </w:r>
      <w:r>
        <w:t>health information/patient medical record information.</w:t>
      </w:r>
    </w:p>
    <w:p w:rsidR="00584323" w:rsidRDefault="00584323" w:rsidP="00584323"/>
    <w:p w:rsidR="00584323" w:rsidRPr="00584323" w:rsidRDefault="00584323" w:rsidP="00584323">
      <w:r w:rsidRPr="00584323">
        <w:t>In granting approval of this waiver request, the IRB Chair/Vice Chair determined, based on an evaluation of the research</w:t>
      </w:r>
      <w:r>
        <w:t xml:space="preserve"> </w:t>
      </w:r>
      <w:r w:rsidRPr="00584323">
        <w:t>procedures and the waiver justification submitted by the principal investigator, that all the following criteria were met.</w:t>
      </w:r>
    </w:p>
    <w:p w:rsidR="00584323" w:rsidRPr="00584323" w:rsidRDefault="00584323" w:rsidP="00584323">
      <w:r w:rsidRPr="00584323">
        <w:t xml:space="preserve"> The investigator</w:t>
      </w:r>
      <w:r w:rsidR="0003741F">
        <w:t xml:space="preserve"> has </w:t>
      </w:r>
      <w:r w:rsidRPr="00584323">
        <w:t>provided assurances that he/she has access to the medical record</w:t>
      </w:r>
      <w:r>
        <w:t xml:space="preserve"> </w:t>
      </w:r>
      <w:r w:rsidRPr="00584323">
        <w:t xml:space="preserve">information </w:t>
      </w:r>
      <w:proofErr w:type="gramStart"/>
      <w:r w:rsidRPr="00584323">
        <w:t>by virtue of</w:t>
      </w:r>
      <w:proofErr w:type="gramEnd"/>
      <w:r w:rsidRPr="00584323">
        <w:t xml:space="preserve"> his/her job responsibilities in providing direct health care to the respective</w:t>
      </w:r>
      <w:r>
        <w:t xml:space="preserve"> </w:t>
      </w:r>
      <w:r w:rsidRPr="00584323">
        <w:t>patients.</w:t>
      </w:r>
    </w:p>
    <w:p w:rsidR="00584323" w:rsidRPr="00584323" w:rsidRDefault="00584323" w:rsidP="00584323">
      <w:r w:rsidRPr="00584323">
        <w:t>HIPAA Waiver Criteria:</w:t>
      </w:r>
    </w:p>
    <w:p w:rsidR="00584323" w:rsidRPr="00584323" w:rsidRDefault="00584323" w:rsidP="0003741F">
      <w:pPr>
        <w:pStyle w:val="ListParagraph"/>
        <w:numPr>
          <w:ilvl w:val="0"/>
          <w:numId w:val="5"/>
        </w:numPr>
        <w:spacing w:after="240" w:line="240" w:lineRule="auto"/>
        <w:contextualSpacing w:val="0"/>
      </w:pPr>
      <w:r w:rsidRPr="00584323">
        <w:t>The use or disclosure of protected health information involves no more than minimal risk to the privacy</w:t>
      </w:r>
      <w:r w:rsidR="0003741F">
        <w:t xml:space="preserve"> </w:t>
      </w:r>
      <w:r w:rsidRPr="00584323">
        <w:t>of individuals, based on, at least, the presence of the following elements:</w:t>
      </w:r>
    </w:p>
    <w:p w:rsidR="00584323" w:rsidRPr="00584323" w:rsidRDefault="00584323" w:rsidP="0003741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584323">
        <w:t>an adequate plan to protect the identifiers from improper use and disclosure;</w:t>
      </w:r>
    </w:p>
    <w:p w:rsidR="00584323" w:rsidRPr="00584323" w:rsidRDefault="00584323" w:rsidP="0003741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584323">
        <w:t>an adequate plan to destroy the identifiers at the earliest opportunity consistent with the conduct of the research, unless there is a health or research justification for retaining the</w:t>
      </w:r>
      <w:r w:rsidR="0003741F">
        <w:t xml:space="preserve"> </w:t>
      </w:r>
      <w:r w:rsidRPr="00584323">
        <w:t>identifiers or such retention is otherwise required by law; and</w:t>
      </w:r>
    </w:p>
    <w:p w:rsidR="00584323" w:rsidRPr="00584323" w:rsidRDefault="00584323" w:rsidP="0003741F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584323">
        <w:t>an adequate written assurance that the protected health information will not be reused or</w:t>
      </w:r>
      <w:r w:rsidR="0003741F">
        <w:t xml:space="preserve"> </w:t>
      </w:r>
      <w:r w:rsidRPr="00584323">
        <w:t>disclosed to any other person or entity, except as required by law, for authorized oversight of</w:t>
      </w:r>
      <w:r w:rsidR="0003741F">
        <w:t xml:space="preserve"> </w:t>
      </w:r>
      <w:r w:rsidRPr="00584323">
        <w:t>the research study, or for other research for which the use or disclosure of protected health</w:t>
      </w:r>
      <w:r w:rsidR="0003741F">
        <w:t xml:space="preserve"> </w:t>
      </w:r>
      <w:r w:rsidRPr="00584323">
        <w:t>information would be permitted (i.e., under the HIPAA regulations).</w:t>
      </w:r>
    </w:p>
    <w:p w:rsidR="00584323" w:rsidRPr="00584323" w:rsidRDefault="00584323" w:rsidP="0003741F">
      <w:pPr>
        <w:pStyle w:val="ListParagraph"/>
        <w:numPr>
          <w:ilvl w:val="0"/>
          <w:numId w:val="6"/>
        </w:numPr>
        <w:spacing w:after="240" w:line="240" w:lineRule="auto"/>
        <w:contextualSpacing w:val="0"/>
      </w:pPr>
      <w:r w:rsidRPr="00584323">
        <w:t>The research (research activity) could not practicably be conducted without the waiver or alteration.</w:t>
      </w:r>
    </w:p>
    <w:p w:rsidR="00584323" w:rsidRPr="00584323" w:rsidRDefault="00584323" w:rsidP="0003741F">
      <w:pPr>
        <w:pStyle w:val="ListParagraph"/>
        <w:numPr>
          <w:ilvl w:val="0"/>
          <w:numId w:val="5"/>
        </w:numPr>
        <w:spacing w:after="240" w:line="240" w:lineRule="auto"/>
        <w:contextualSpacing w:val="0"/>
      </w:pPr>
      <w:r w:rsidRPr="00584323">
        <w:t>The research (research activity) could not practicably</w:t>
      </w:r>
      <w:r w:rsidR="0003741F">
        <w:t xml:space="preserve"> be co</w:t>
      </w:r>
      <w:bookmarkStart w:id="1" w:name="_GoBack"/>
      <w:bookmarkEnd w:id="1"/>
      <w:r w:rsidR="0003741F">
        <w:t>nducted without access to and use of the protected health information</w:t>
      </w:r>
    </w:p>
    <w:sectPr w:rsidR="00584323" w:rsidRPr="005843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87" w:rsidRDefault="00A61587" w:rsidP="00A61587">
      <w:pPr>
        <w:spacing w:after="0" w:line="240" w:lineRule="auto"/>
      </w:pPr>
      <w:r>
        <w:separator/>
      </w:r>
    </w:p>
  </w:endnote>
  <w:endnote w:type="continuationSeparator" w:id="0">
    <w:p w:rsidR="00A61587" w:rsidRDefault="00A61587" w:rsidP="00A6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87" w:rsidRDefault="00A61587" w:rsidP="00A61587">
      <w:pPr>
        <w:spacing w:after="0" w:line="240" w:lineRule="auto"/>
      </w:pPr>
      <w:bookmarkStart w:id="0" w:name="_Hlk481152345"/>
      <w:bookmarkEnd w:id="0"/>
      <w:r>
        <w:separator/>
      </w:r>
    </w:p>
  </w:footnote>
  <w:footnote w:type="continuationSeparator" w:id="0">
    <w:p w:rsidR="00A61587" w:rsidRDefault="00A61587" w:rsidP="00A6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23" w:rsidRPr="00584323" w:rsidRDefault="00584323" w:rsidP="00584323">
    <w:pPr>
      <w:spacing w:after="0" w:line="240" w:lineRule="auto"/>
      <w:jc w:val="center"/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</w:pPr>
    <w:r w:rsidRPr="00584323"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  <w:t>HIPAA WAIVER</w:t>
    </w:r>
  </w:p>
  <w:p w:rsidR="00584323" w:rsidRPr="00584323" w:rsidRDefault="00584323" w:rsidP="00584323">
    <w:pPr>
      <w:spacing w:after="0" w:line="240" w:lineRule="auto"/>
      <w:jc w:val="center"/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</w:pPr>
    <w:r w:rsidRPr="00584323"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  <w:t>DOCUMENTATION OF IRB APPROVAL:</w:t>
    </w:r>
  </w:p>
  <w:p w:rsidR="00584323" w:rsidRPr="00584323" w:rsidRDefault="00584323" w:rsidP="00584323">
    <w:pPr>
      <w:spacing w:after="0" w:line="240" w:lineRule="auto"/>
      <w:jc w:val="center"/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</w:pPr>
    <w:r w:rsidRPr="00584323"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  <w:t>WAIVER OF THE HIPAA AUTHORIZATION TO ACCESS AND USE</w:t>
    </w:r>
  </w:p>
  <w:p w:rsidR="00584323" w:rsidRPr="00584323" w:rsidRDefault="00584323" w:rsidP="00584323">
    <w:pPr>
      <w:spacing w:after="0" w:line="240" w:lineRule="auto"/>
      <w:jc w:val="center"/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</w:pPr>
    <w:r w:rsidRPr="00584323"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  <w:t>PROTECTED HEALTH INFORMATION/PATIENT MEDICAL RECORD INFORMATION</w:t>
    </w:r>
  </w:p>
  <w:p w:rsidR="00584323" w:rsidRDefault="00584323" w:rsidP="00584323">
    <w:pPr>
      <w:spacing w:after="0" w:line="240" w:lineRule="auto"/>
      <w:jc w:val="center"/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</w:pPr>
    <w:r w:rsidRPr="00584323">
      <w:rPr>
        <w:rFonts w:asciiTheme="majorHAnsi" w:eastAsiaTheme="majorEastAsia" w:hAnsiTheme="majorHAnsi" w:cstheme="majorBidi"/>
        <w:b/>
        <w:spacing w:val="-10"/>
        <w:kern w:val="28"/>
        <w:sz w:val="24"/>
        <w:szCs w:val="24"/>
      </w:rPr>
      <w:t xml:space="preserve">(This documentation form is not for Exempt with HIPAA waiver) </w:t>
    </w:r>
  </w:p>
  <w:p w:rsidR="00A61587" w:rsidRPr="00584323" w:rsidRDefault="00A61587" w:rsidP="00584323">
    <w:pPr>
      <w:spacing w:after="0" w:line="240" w:lineRule="auto"/>
      <w:jc w:val="center"/>
      <w:rPr>
        <w:sz w:val="24"/>
        <w:szCs w:val="24"/>
      </w:rPr>
    </w:pPr>
    <w:r w:rsidRPr="00584323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80010</wp:posOffset>
              </wp:positionV>
              <wp:extent cx="661035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6E729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6.3pt" to="512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" strokecolor="#4472c4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01EC"/>
    <w:multiLevelType w:val="hybridMultilevel"/>
    <w:tmpl w:val="E6A83A5E"/>
    <w:lvl w:ilvl="0" w:tplc="B9EC2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0A0AF4"/>
    <w:multiLevelType w:val="hybridMultilevel"/>
    <w:tmpl w:val="E44CF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0FE4"/>
    <w:multiLevelType w:val="hybridMultilevel"/>
    <w:tmpl w:val="8A8EF830"/>
    <w:lvl w:ilvl="0" w:tplc="B9EC24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2E26C1"/>
    <w:multiLevelType w:val="hybridMultilevel"/>
    <w:tmpl w:val="FB14C93E"/>
    <w:lvl w:ilvl="0" w:tplc="B9EC2498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C8221F8"/>
    <w:multiLevelType w:val="hybridMultilevel"/>
    <w:tmpl w:val="A49E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1C44"/>
    <w:multiLevelType w:val="hybridMultilevel"/>
    <w:tmpl w:val="4B16E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7"/>
    <w:rsid w:val="0003741F"/>
    <w:rsid w:val="00113009"/>
    <w:rsid w:val="0044424B"/>
    <w:rsid w:val="00501BFB"/>
    <w:rsid w:val="00584323"/>
    <w:rsid w:val="00694B3B"/>
    <w:rsid w:val="007B133E"/>
    <w:rsid w:val="00A61587"/>
    <w:rsid w:val="00F20DAC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6627A"/>
  <w15:chartTrackingRefBased/>
  <w15:docId w15:val="{F84AFF83-67E2-48B7-9BEB-9B5AA8B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87"/>
  </w:style>
  <w:style w:type="paragraph" w:styleId="Footer">
    <w:name w:val="footer"/>
    <w:basedOn w:val="Normal"/>
    <w:link w:val="FooterChar"/>
    <w:uiPriority w:val="99"/>
    <w:unhideWhenUsed/>
    <w:rsid w:val="00A61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87"/>
  </w:style>
  <w:style w:type="paragraph" w:styleId="Title">
    <w:name w:val="Title"/>
    <w:basedOn w:val="Normal"/>
    <w:next w:val="Normal"/>
    <w:link w:val="TitleChar"/>
    <w:uiPriority w:val="10"/>
    <w:qFormat/>
    <w:rsid w:val="00A61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6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3A0F-04A6-486C-9100-2061EA1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Miklos, Melissa Germaine</dc:creator>
  <cp:keywords/>
  <dc:description/>
  <cp:lastModifiedBy>Miklos, Melissa Germaine</cp:lastModifiedBy>
  <cp:revision>4</cp:revision>
  <dcterms:created xsi:type="dcterms:W3CDTF">2017-04-28T18:30:00Z</dcterms:created>
  <dcterms:modified xsi:type="dcterms:W3CDTF">2017-04-28T18:35:00Z</dcterms:modified>
</cp:coreProperties>
</file>